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639C2" w14:textId="015EA03D" w:rsidR="00626487" w:rsidRPr="00D94515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3183749"/>
      <w:bookmarkStart w:id="1" w:name="_Toc144976329"/>
      <w:bookmarkStart w:id="2" w:name="_Hlk144565843"/>
      <w:bookmarkStart w:id="3" w:name="_Hlk144995167"/>
      <w:proofErr w:type="spellStart"/>
      <w:r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2.2:</w:t>
      </w:r>
      <w:bookmarkEnd w:id="0"/>
      <w:bookmarkEnd w:id="1"/>
      <w:r w:rsidR="00995877"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="00995877"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Rozvoj</w:t>
      </w:r>
      <w:proofErr w:type="spellEnd"/>
      <w:r w:rsidR="00995877"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="00995877"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našima</w:t>
      </w:r>
      <w:proofErr w:type="spellEnd"/>
      <w:r w:rsidR="00995877"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="00995877" w:rsidRPr="00D94515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očima</w:t>
      </w:r>
      <w:proofErr w:type="spellEnd"/>
    </w:p>
    <w:bookmarkEnd w:id="2"/>
    <w:p w14:paraId="0BC29063" w14:textId="77777777" w:rsidR="00626487" w:rsidRDefault="00626487" w:rsidP="00626487">
      <w:pPr>
        <w:rPr>
          <w:lang w:val="cs-CZ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910"/>
      </w:tblGrid>
      <w:tr w:rsidR="00387BA8" w14:paraId="167172D8" w14:textId="77777777" w:rsidTr="00387BA8">
        <w:tc>
          <w:tcPr>
            <w:tcW w:w="7910" w:type="dxa"/>
          </w:tcPr>
          <w:p w14:paraId="0FF3140C" w14:textId="77777777" w:rsidR="00387BA8" w:rsidRPr="00652BD0" w:rsidRDefault="00387BA8" w:rsidP="00387BA8">
            <w:pPr>
              <w:spacing w:before="120"/>
              <w:jc w:val="center"/>
              <w:rPr>
                <w:i/>
                <w:iCs/>
              </w:rPr>
            </w:pPr>
            <w:r w:rsidRPr="00652BD0">
              <w:rPr>
                <w:i/>
                <w:iCs/>
              </w:rPr>
              <w:t>„Hospodářský rozvoj posledních 40 let byl obzvláště destruktivní. Zasáhl většinu obyvatelstva, což vedlo k obrovskému nárůstu nerovnosti a k útokům na demokracii a životní prostředí.“</w:t>
            </w:r>
          </w:p>
          <w:p w14:paraId="7B54DBCF" w14:textId="77777777" w:rsidR="00387BA8" w:rsidRDefault="00387BA8" w:rsidP="00387BA8">
            <w:pPr>
              <w:spacing w:before="120"/>
              <w:jc w:val="center"/>
            </w:pPr>
            <w:r>
              <w:t>Noam Chomsky, celosvětově uznávaný vědec, USA</w:t>
            </w:r>
          </w:p>
          <w:p w14:paraId="6DB20027" w14:textId="77777777" w:rsidR="00B632CD" w:rsidRDefault="00B632CD" w:rsidP="00387BA8">
            <w:pPr>
              <w:spacing w:before="120"/>
              <w:jc w:val="center"/>
            </w:pPr>
          </w:p>
          <w:p w14:paraId="17FE6B92" w14:textId="1721B0F3" w:rsidR="00387BA8" w:rsidRPr="00387BA8" w:rsidRDefault="00387BA8" w:rsidP="00387BA8">
            <w:pPr>
              <w:pStyle w:val="Odstavecseseznamem"/>
              <w:numPr>
                <w:ilvl w:val="0"/>
                <w:numId w:val="73"/>
              </w:numPr>
              <w:spacing w:before="120"/>
              <w:ind w:left="340" w:hanging="340"/>
              <w:rPr>
                <w:sz w:val="20"/>
                <w:szCs w:val="20"/>
              </w:rPr>
            </w:pPr>
            <w:r w:rsidRPr="007E2CA4">
              <w:rPr>
                <w:sz w:val="20"/>
                <w:szCs w:val="20"/>
              </w:rPr>
              <w:t xml:space="preserve">Zdroj: </w:t>
            </w:r>
            <w:r w:rsidRPr="00616CDA">
              <w:rPr>
                <w:caps/>
                <w:sz w:val="20"/>
                <w:szCs w:val="20"/>
              </w:rPr>
              <w:t>Cox</w:t>
            </w:r>
            <w:r w:rsidRPr="007E2CA4">
              <w:rPr>
                <w:sz w:val="20"/>
                <w:szCs w:val="20"/>
              </w:rPr>
              <w:t xml:space="preserve">, </w:t>
            </w:r>
            <w:r w:rsidR="00616CDA">
              <w:rPr>
                <w:sz w:val="20"/>
                <w:szCs w:val="20"/>
              </w:rPr>
              <w:t>Stan</w:t>
            </w:r>
            <w:r w:rsidRPr="007E2CA4">
              <w:rPr>
                <w:sz w:val="20"/>
                <w:szCs w:val="20"/>
              </w:rPr>
              <w:t xml:space="preserve">. </w:t>
            </w:r>
            <w:hyperlink r:id="rId9" w:history="1">
              <w:r w:rsidRPr="00616CDA">
                <w:rPr>
                  <w:rStyle w:val="Hypertextovodkaz"/>
                  <w:b/>
                  <w:bCs/>
                  <w:i/>
                  <w:iCs/>
                  <w:color w:val="31849B"/>
                  <w:sz w:val="20"/>
                  <w:szCs w:val="20"/>
                  <w:u w:val="none"/>
                </w:rPr>
                <w:t>A Livable Future Is Possible: An Interview With Noam Chomsky</w:t>
              </w:r>
            </w:hyperlink>
            <w:r w:rsidRPr="007E2CA4">
              <w:rPr>
                <w:sz w:val="20"/>
                <w:szCs w:val="20"/>
              </w:rPr>
              <w:t xml:space="preserve"> </w:t>
            </w:r>
            <w:r w:rsidRPr="00B10978">
              <w:rPr>
                <w:rStyle w:val="Odkazjemn"/>
                <w:color w:val="31849B"/>
              </w:rPr>
              <w:sym w:font="Webdings" w:char="F0FC"/>
            </w:r>
            <w:r w:rsidR="00616CDA">
              <w:rPr>
                <w:rStyle w:val="Odkazjemn"/>
                <w:color w:val="31849B"/>
              </w:rPr>
              <w:t xml:space="preserve">. </w:t>
            </w:r>
            <w:r w:rsidR="00616CDA" w:rsidRPr="00616CDA">
              <w:rPr>
                <w:rStyle w:val="Odkazjemn"/>
                <w:b w:val="0"/>
                <w:bCs w:val="0"/>
                <w:color w:val="auto"/>
              </w:rPr>
              <w:t>The Nation [Online]. 29. 10. 2021. [cit. 2023-05-18]. Dostupné z: https://www.thenation.com/article/environment/chomsky-climate-change/</w:t>
            </w:r>
          </w:p>
        </w:tc>
      </w:tr>
      <w:bookmarkEnd w:id="3"/>
      <w:tr w:rsidR="00387BA8" w14:paraId="1A32FA80" w14:textId="77777777" w:rsidTr="00387BA8">
        <w:tc>
          <w:tcPr>
            <w:tcW w:w="7910" w:type="dxa"/>
          </w:tcPr>
          <w:p w14:paraId="65D86BF9" w14:textId="77777777" w:rsidR="00387BA8" w:rsidRPr="00652BD0" w:rsidRDefault="00387BA8" w:rsidP="00387BA8">
            <w:pPr>
              <w:spacing w:before="120"/>
              <w:jc w:val="center"/>
              <w:rPr>
                <w:i/>
                <w:iCs/>
              </w:rPr>
            </w:pPr>
            <w:r w:rsidRPr="00652BD0">
              <w:rPr>
                <w:i/>
                <w:iCs/>
              </w:rPr>
              <w:t>„Je pravda, že globalizace se všemi svými fantastickými zlepšeními ve světě a s ní spojeným technologickým pokrokem zvýšila nerovnost lidí na úrovni zemí, ale i uvnitř států. …to vede k politické nestabilitě a konfliktům spojeným s porušováním lidských práv a dalšími aspekty.“</w:t>
            </w:r>
          </w:p>
          <w:p w14:paraId="3AB321CC" w14:textId="77777777" w:rsidR="00387BA8" w:rsidRDefault="00387BA8" w:rsidP="00FC61C7">
            <w:pPr>
              <w:spacing w:before="120"/>
              <w:jc w:val="center"/>
            </w:pPr>
            <w:r>
              <w:t>Antonio Guterres, generální tajemník Organizace spojených národů</w:t>
            </w:r>
          </w:p>
          <w:p w14:paraId="715E044A" w14:textId="77777777" w:rsidR="00B632CD" w:rsidRDefault="00B632CD" w:rsidP="00387BA8">
            <w:pPr>
              <w:spacing w:before="120"/>
              <w:jc w:val="right"/>
            </w:pPr>
          </w:p>
          <w:p w14:paraId="194F81CB" w14:textId="29925654" w:rsidR="00387BA8" w:rsidRPr="00387BA8" w:rsidRDefault="00387BA8" w:rsidP="00387BA8">
            <w:pPr>
              <w:pStyle w:val="Odstavecseseznamem"/>
              <w:numPr>
                <w:ilvl w:val="0"/>
                <w:numId w:val="73"/>
              </w:numPr>
              <w:spacing w:before="120"/>
              <w:ind w:left="340" w:hanging="340"/>
              <w:rPr>
                <w:sz w:val="20"/>
                <w:szCs w:val="20"/>
              </w:rPr>
            </w:pPr>
            <w:r w:rsidRPr="00387BA8">
              <w:rPr>
                <w:sz w:val="20"/>
                <w:szCs w:val="20"/>
              </w:rPr>
              <w:t xml:space="preserve">Zdroj: </w:t>
            </w:r>
            <w:r w:rsidRPr="00616CDA">
              <w:rPr>
                <w:caps/>
                <w:sz w:val="20"/>
                <w:szCs w:val="20"/>
              </w:rPr>
              <w:t>Guterres</w:t>
            </w:r>
            <w:r w:rsidRPr="00387BA8">
              <w:rPr>
                <w:sz w:val="20"/>
                <w:szCs w:val="20"/>
              </w:rPr>
              <w:t xml:space="preserve">, </w:t>
            </w:r>
            <w:r w:rsidR="00616CDA" w:rsidRPr="00616CDA">
              <w:rPr>
                <w:sz w:val="20"/>
                <w:szCs w:val="20"/>
              </w:rPr>
              <w:t>António</w:t>
            </w:r>
            <w:r w:rsidRPr="00387BA8">
              <w:rPr>
                <w:sz w:val="20"/>
                <w:szCs w:val="20"/>
              </w:rPr>
              <w:t xml:space="preserve">. 2019. </w:t>
            </w:r>
            <w:r w:rsidR="00616CDA" w:rsidRPr="00616CDA">
              <w:rPr>
                <w:rStyle w:val="Odkazjemn"/>
                <w:i/>
                <w:iCs/>
                <w:color w:val="31849B"/>
              </w:rPr>
              <w:t>António Guterres:</w:t>
            </w:r>
            <w:r w:rsidR="00616CDA" w:rsidRPr="00616CDA">
              <w:rPr>
                <w:sz w:val="20"/>
                <w:szCs w:val="20"/>
              </w:rPr>
              <w:t xml:space="preserve"> </w:t>
            </w:r>
            <w:hyperlink r:id="rId10" w:history="1">
              <w:r w:rsidRPr="00616CDA">
                <w:rPr>
                  <w:rStyle w:val="Hypertextovodkaz"/>
                  <w:b/>
                  <w:bCs/>
                  <w:i/>
                  <w:iCs/>
                  <w:color w:val="31849B"/>
                  <w:sz w:val="20"/>
                  <w:szCs w:val="20"/>
                  <w:u w:val="none"/>
                </w:rPr>
                <w:t>Read the UN Secretary-General’s Davos address in full</w:t>
              </w:r>
              <w:r w:rsidRPr="00387BA8">
                <w:rPr>
                  <w:rStyle w:val="Hypertextovodkaz"/>
                  <w:sz w:val="20"/>
                  <w:szCs w:val="20"/>
                </w:rPr>
                <w:t>.</w:t>
              </w:r>
            </w:hyperlink>
            <w:r w:rsidRPr="00387BA8">
              <w:rPr>
                <w:sz w:val="20"/>
                <w:szCs w:val="20"/>
              </w:rPr>
              <w:t xml:space="preserve"> </w:t>
            </w:r>
            <w:r w:rsidRPr="00B10978">
              <w:rPr>
                <w:rStyle w:val="Odkazjemn"/>
                <w:color w:val="31849B"/>
              </w:rPr>
              <w:sym w:font="Webdings" w:char="F0FC"/>
            </w:r>
            <w:r w:rsidR="00616CDA">
              <w:rPr>
                <w:rStyle w:val="Odkazjemn"/>
                <w:color w:val="31849B"/>
              </w:rPr>
              <w:t xml:space="preserve">. </w:t>
            </w:r>
            <w:r w:rsidR="00616CDA" w:rsidRPr="00616CDA">
              <w:rPr>
                <w:rStyle w:val="Odkazjemn"/>
                <w:b w:val="0"/>
                <w:bCs w:val="0"/>
                <w:color w:val="auto"/>
              </w:rPr>
              <w:t>The World Economic Forum [Online]. 24. 1. 2019. [cit. 2023-05-18]. Dostupné z: https://www.weforum.org/agenda/2019/01/these-are-the-global-priorities-and-risks-for-the-future-according-to-antonio-guterres/</w:t>
            </w:r>
          </w:p>
        </w:tc>
      </w:tr>
      <w:tr w:rsidR="00387BA8" w14:paraId="6F462724" w14:textId="77777777" w:rsidTr="00387BA8">
        <w:tc>
          <w:tcPr>
            <w:tcW w:w="7910" w:type="dxa"/>
          </w:tcPr>
          <w:p w14:paraId="1D87265E" w14:textId="77777777" w:rsidR="00387BA8" w:rsidRPr="00652BD0" w:rsidRDefault="00387BA8" w:rsidP="00387BA8">
            <w:pPr>
              <w:spacing w:before="120"/>
              <w:jc w:val="center"/>
              <w:rPr>
                <w:i/>
                <w:iCs/>
              </w:rPr>
            </w:pPr>
            <w:r w:rsidRPr="00652BD0">
              <w:rPr>
                <w:i/>
                <w:iCs/>
              </w:rPr>
              <w:t>„Všichni věříme na nekonečný růst. Je nutné přehodnotit směřování světových ekonomik k nějakému nerůstu. Samotné klima (klimatická změna) nás donutí toto dříve či později udělat.“</w:t>
            </w:r>
          </w:p>
          <w:p w14:paraId="64D7AF00" w14:textId="77777777" w:rsidR="00387BA8" w:rsidRDefault="00387BA8" w:rsidP="00387BA8">
            <w:pPr>
              <w:spacing w:before="120"/>
              <w:jc w:val="right"/>
            </w:pPr>
            <w:r>
              <w:t>Václav Cílek, významný český vědec-geolog, spisovatel a popularizátor vědy</w:t>
            </w:r>
          </w:p>
          <w:p w14:paraId="3DB4D0B1" w14:textId="77777777" w:rsidR="00B632CD" w:rsidRDefault="00B632CD" w:rsidP="00387BA8">
            <w:pPr>
              <w:spacing w:before="120"/>
              <w:jc w:val="right"/>
            </w:pPr>
          </w:p>
          <w:p w14:paraId="30C0CB5B" w14:textId="01CF19D9" w:rsidR="00387BA8" w:rsidRPr="00B632CD" w:rsidRDefault="00387BA8" w:rsidP="00581CF6">
            <w:pPr>
              <w:pStyle w:val="Odstavecseseznamem"/>
              <w:numPr>
                <w:ilvl w:val="0"/>
                <w:numId w:val="73"/>
              </w:numPr>
              <w:spacing w:before="120"/>
              <w:ind w:left="306" w:hanging="306"/>
              <w:rPr>
                <w:sz w:val="20"/>
                <w:szCs w:val="20"/>
                <w:lang w:val="cs-CZ"/>
              </w:rPr>
            </w:pPr>
            <w:r w:rsidRPr="00B632CD">
              <w:rPr>
                <w:sz w:val="20"/>
                <w:szCs w:val="20"/>
              </w:rPr>
              <w:t xml:space="preserve">Zdroj: </w:t>
            </w:r>
            <w:r w:rsidRPr="00616CDA">
              <w:rPr>
                <w:caps/>
                <w:sz w:val="20"/>
                <w:szCs w:val="20"/>
              </w:rPr>
              <w:t>Škoda</w:t>
            </w:r>
            <w:r w:rsidRPr="00B632CD">
              <w:rPr>
                <w:sz w:val="20"/>
                <w:szCs w:val="20"/>
              </w:rPr>
              <w:t>, J</w:t>
            </w:r>
            <w:r w:rsidR="00616CDA">
              <w:rPr>
                <w:sz w:val="20"/>
                <w:szCs w:val="20"/>
              </w:rPr>
              <w:t>a</w:t>
            </w:r>
            <w:r w:rsidR="00616CDA">
              <w:t>n</w:t>
            </w:r>
            <w:r w:rsidRPr="00B632CD">
              <w:rPr>
                <w:sz w:val="20"/>
                <w:szCs w:val="20"/>
              </w:rPr>
              <w:t xml:space="preserve">. </w:t>
            </w:r>
            <w:hyperlink r:id="rId11" w:history="1">
              <w:r w:rsidRPr="00616CDA">
                <w:rPr>
                  <w:rStyle w:val="Hypertextovodkaz"/>
                  <w:b/>
                  <w:bCs/>
                  <w:i/>
                  <w:iCs/>
                  <w:color w:val="31849B"/>
                  <w:sz w:val="20"/>
                  <w:szCs w:val="20"/>
                  <w:u w:val="none"/>
                </w:rPr>
                <w:t>Je nutné přehodnotit směřování světových ekonomik k nerůstu, říká Cílek</w:t>
              </w:r>
            </w:hyperlink>
            <w:r w:rsidR="00B632CD" w:rsidRPr="00B632CD">
              <w:rPr>
                <w:sz w:val="20"/>
                <w:szCs w:val="20"/>
              </w:rPr>
              <w:t xml:space="preserve">. </w:t>
            </w:r>
            <w:r w:rsidR="00B632CD" w:rsidRPr="00B632CD">
              <w:rPr>
                <w:rStyle w:val="Odkazjemn"/>
                <w:color w:val="31849B"/>
              </w:rPr>
              <w:sym w:font="Webdings" w:char="F0FC"/>
            </w:r>
            <w:r w:rsidR="00616CDA">
              <w:rPr>
                <w:rStyle w:val="Odkazjemn"/>
                <w:color w:val="31849B"/>
              </w:rPr>
              <w:t xml:space="preserve">. </w:t>
            </w:r>
            <w:r w:rsidR="00616CDA" w:rsidRPr="00616CDA">
              <w:rPr>
                <w:rStyle w:val="Odkazjemn"/>
                <w:b w:val="0"/>
                <w:bCs w:val="0"/>
                <w:color w:val="auto"/>
              </w:rPr>
              <w:t>ČT24 [Online]. 8. 11. 2022. [cit. 2023-0</w:t>
            </w:r>
            <w:r w:rsidR="00616CDA">
              <w:rPr>
                <w:rStyle w:val="Odkazjemn"/>
                <w:b w:val="0"/>
                <w:bCs w:val="0"/>
                <w:color w:val="auto"/>
              </w:rPr>
              <w:t>5</w:t>
            </w:r>
            <w:r w:rsidR="00616CDA" w:rsidRPr="00616CDA">
              <w:rPr>
                <w:rStyle w:val="Odkazjemn"/>
                <w:b w:val="0"/>
                <w:bCs w:val="0"/>
                <w:color w:val="auto"/>
              </w:rPr>
              <w:t>-</w:t>
            </w:r>
            <w:r w:rsidR="00616CDA">
              <w:rPr>
                <w:rStyle w:val="Odkazjemn"/>
                <w:b w:val="0"/>
                <w:bCs w:val="0"/>
                <w:color w:val="auto"/>
              </w:rPr>
              <w:t>18</w:t>
            </w:r>
            <w:r w:rsidR="00616CDA" w:rsidRPr="00616CDA">
              <w:rPr>
                <w:rStyle w:val="Odkazjemn"/>
                <w:b w:val="0"/>
                <w:bCs w:val="0"/>
                <w:color w:val="auto"/>
              </w:rPr>
              <w:t>]. Dostupné z: https://ct24.ceskatelevize.cz/domaci/3541986-je-nutne-prehodnotit-smerovani-svetovych-ekonomik-k-nerustu-rika-cilek.</w:t>
            </w:r>
            <w:r w:rsidR="00616CDA" w:rsidRPr="00616CDA">
              <w:rPr>
                <w:rStyle w:val="Odkazjemn"/>
                <w:color w:val="auto"/>
              </w:rPr>
              <w:t xml:space="preserve"> </w:t>
            </w:r>
          </w:p>
        </w:tc>
      </w:tr>
    </w:tbl>
    <w:p w14:paraId="712D8211" w14:textId="77777777" w:rsidR="00387BA8" w:rsidRDefault="00387BA8" w:rsidP="00626487">
      <w:pPr>
        <w:rPr>
          <w:lang w:val="cs-CZ"/>
        </w:rPr>
      </w:pPr>
    </w:p>
    <w:p w14:paraId="3BB239BA" w14:textId="77777777" w:rsidR="007E2CA4" w:rsidRDefault="007E2CA4" w:rsidP="00626487">
      <w:pPr>
        <w:rPr>
          <w:lang w:val="cs-CZ"/>
        </w:rPr>
      </w:pPr>
    </w:p>
    <w:p w14:paraId="1585F31F" w14:textId="2A295480" w:rsidR="00626487" w:rsidRPr="00626487" w:rsidRDefault="00626487" w:rsidP="00626487">
      <w:pPr>
        <w:widowControl/>
        <w:spacing w:after="0" w:line="276" w:lineRule="auto"/>
      </w:pPr>
      <w:bookmarkStart w:id="4" w:name="_heading=h.oxc5d9imtp74" w:colFirst="0" w:colLast="0"/>
      <w:bookmarkEnd w:id="4"/>
    </w:p>
    <w:sectPr w:rsidR="00626487" w:rsidRPr="00626487" w:rsidSect="00A56211">
      <w:footerReference w:type="default" r:id="rId12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6F03F" w14:textId="77777777" w:rsidR="004026EC" w:rsidRPr="002A0D8C" w:rsidRDefault="004026EC" w:rsidP="00D528B6">
      <w:r w:rsidRPr="002A0D8C">
        <w:separator/>
      </w:r>
    </w:p>
  </w:endnote>
  <w:endnote w:type="continuationSeparator" w:id="0">
    <w:p w14:paraId="7FE1A5C9" w14:textId="77777777" w:rsidR="004026EC" w:rsidRPr="002A0D8C" w:rsidRDefault="004026EC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A6D56" w14:textId="77777777" w:rsidR="004026EC" w:rsidRPr="002A0D8C" w:rsidRDefault="004026EC" w:rsidP="00D528B6">
      <w:r w:rsidRPr="002A0D8C">
        <w:separator/>
      </w:r>
    </w:p>
  </w:footnote>
  <w:footnote w:type="continuationSeparator" w:id="0">
    <w:p w14:paraId="1F96208E" w14:textId="77777777" w:rsidR="004026EC" w:rsidRPr="002A0D8C" w:rsidRDefault="004026EC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6006638C"/>
    <w:lvl w:ilvl="0" w:tplc="6FD8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8"/>
  </w:num>
  <w:num w:numId="4">
    <w:abstractNumId w:val="14"/>
  </w:num>
  <w:num w:numId="5">
    <w:abstractNumId w:val="43"/>
  </w:num>
  <w:num w:numId="6">
    <w:abstractNumId w:val="37"/>
  </w:num>
  <w:num w:numId="7">
    <w:abstractNumId w:val="8"/>
  </w:num>
  <w:num w:numId="8">
    <w:abstractNumId w:val="3"/>
  </w:num>
  <w:num w:numId="9">
    <w:abstractNumId w:val="61"/>
  </w:num>
  <w:num w:numId="10">
    <w:abstractNumId w:val="25"/>
  </w:num>
  <w:num w:numId="11">
    <w:abstractNumId w:val="29"/>
  </w:num>
  <w:num w:numId="12">
    <w:abstractNumId w:val="10"/>
  </w:num>
  <w:num w:numId="13">
    <w:abstractNumId w:val="21"/>
  </w:num>
  <w:num w:numId="14">
    <w:abstractNumId w:val="63"/>
  </w:num>
  <w:num w:numId="15">
    <w:abstractNumId w:val="70"/>
  </w:num>
  <w:num w:numId="16">
    <w:abstractNumId w:val="67"/>
  </w:num>
  <w:num w:numId="17">
    <w:abstractNumId w:val="73"/>
  </w:num>
  <w:num w:numId="18">
    <w:abstractNumId w:val="40"/>
  </w:num>
  <w:num w:numId="19">
    <w:abstractNumId w:val="41"/>
  </w:num>
  <w:num w:numId="20">
    <w:abstractNumId w:val="45"/>
  </w:num>
  <w:num w:numId="21">
    <w:abstractNumId w:val="17"/>
  </w:num>
  <w:num w:numId="22">
    <w:abstractNumId w:val="15"/>
  </w:num>
  <w:num w:numId="23">
    <w:abstractNumId w:val="39"/>
  </w:num>
  <w:num w:numId="24">
    <w:abstractNumId w:val="1"/>
  </w:num>
  <w:num w:numId="25">
    <w:abstractNumId w:val="53"/>
  </w:num>
  <w:num w:numId="26">
    <w:abstractNumId w:val="16"/>
  </w:num>
  <w:num w:numId="27">
    <w:abstractNumId w:val="18"/>
  </w:num>
  <w:num w:numId="28">
    <w:abstractNumId w:val="4"/>
  </w:num>
  <w:num w:numId="29">
    <w:abstractNumId w:val="30"/>
  </w:num>
  <w:num w:numId="30">
    <w:abstractNumId w:val="59"/>
  </w:num>
  <w:num w:numId="31">
    <w:abstractNumId w:val="24"/>
  </w:num>
  <w:num w:numId="32">
    <w:abstractNumId w:val="49"/>
  </w:num>
  <w:num w:numId="33">
    <w:abstractNumId w:val="69"/>
  </w:num>
  <w:num w:numId="34">
    <w:abstractNumId w:val="31"/>
  </w:num>
  <w:num w:numId="35">
    <w:abstractNumId w:val="35"/>
  </w:num>
  <w:num w:numId="36">
    <w:abstractNumId w:val="12"/>
  </w:num>
  <w:num w:numId="37">
    <w:abstractNumId w:val="5"/>
  </w:num>
  <w:num w:numId="38">
    <w:abstractNumId w:val="42"/>
  </w:num>
  <w:num w:numId="39">
    <w:abstractNumId w:val="20"/>
  </w:num>
  <w:num w:numId="40">
    <w:abstractNumId w:val="57"/>
  </w:num>
  <w:num w:numId="41">
    <w:abstractNumId w:val="65"/>
  </w:num>
  <w:num w:numId="42">
    <w:abstractNumId w:val="0"/>
  </w:num>
  <w:num w:numId="43">
    <w:abstractNumId w:val="47"/>
  </w:num>
  <w:num w:numId="44">
    <w:abstractNumId w:val="50"/>
  </w:num>
  <w:num w:numId="45">
    <w:abstractNumId w:val="51"/>
  </w:num>
  <w:num w:numId="46">
    <w:abstractNumId w:val="54"/>
  </w:num>
  <w:num w:numId="47">
    <w:abstractNumId w:val="28"/>
  </w:num>
  <w:num w:numId="48">
    <w:abstractNumId w:val="66"/>
  </w:num>
  <w:num w:numId="49">
    <w:abstractNumId w:val="33"/>
  </w:num>
  <w:num w:numId="50">
    <w:abstractNumId w:val="38"/>
  </w:num>
  <w:num w:numId="51">
    <w:abstractNumId w:val="11"/>
  </w:num>
  <w:num w:numId="52">
    <w:abstractNumId w:val="56"/>
  </w:num>
  <w:num w:numId="53">
    <w:abstractNumId w:val="32"/>
  </w:num>
  <w:num w:numId="54">
    <w:abstractNumId w:val="72"/>
  </w:num>
  <w:num w:numId="55">
    <w:abstractNumId w:val="22"/>
  </w:num>
  <w:num w:numId="56">
    <w:abstractNumId w:val="68"/>
  </w:num>
  <w:num w:numId="57">
    <w:abstractNumId w:val="60"/>
  </w:num>
  <w:num w:numId="58">
    <w:abstractNumId w:val="46"/>
  </w:num>
  <w:num w:numId="59">
    <w:abstractNumId w:val="2"/>
  </w:num>
  <w:num w:numId="60">
    <w:abstractNumId w:val="52"/>
  </w:num>
  <w:num w:numId="61">
    <w:abstractNumId w:val="36"/>
  </w:num>
  <w:num w:numId="62">
    <w:abstractNumId w:val="27"/>
  </w:num>
  <w:num w:numId="63">
    <w:abstractNumId w:val="23"/>
  </w:num>
  <w:num w:numId="64">
    <w:abstractNumId w:val="71"/>
  </w:num>
  <w:num w:numId="65">
    <w:abstractNumId w:val="6"/>
  </w:num>
  <w:num w:numId="66">
    <w:abstractNumId w:val="48"/>
  </w:num>
  <w:num w:numId="67">
    <w:abstractNumId w:val="44"/>
  </w:num>
  <w:num w:numId="68">
    <w:abstractNumId w:val="26"/>
  </w:num>
  <w:num w:numId="69">
    <w:abstractNumId w:val="64"/>
  </w:num>
  <w:num w:numId="70">
    <w:abstractNumId w:val="34"/>
  </w:num>
  <w:num w:numId="71">
    <w:abstractNumId w:val="19"/>
  </w:num>
  <w:num w:numId="72">
    <w:abstractNumId w:val="13"/>
  </w:num>
  <w:num w:numId="73">
    <w:abstractNumId w:val="62"/>
  </w:num>
  <w:num w:numId="74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D135B"/>
    <w:rsid w:val="001F1290"/>
    <w:rsid w:val="001F14AB"/>
    <w:rsid w:val="001F2A97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A0D8C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E35"/>
    <w:rsid w:val="003A4E76"/>
    <w:rsid w:val="003B7345"/>
    <w:rsid w:val="003F17B0"/>
    <w:rsid w:val="004026EC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31465"/>
    <w:rsid w:val="00532520"/>
    <w:rsid w:val="00541585"/>
    <w:rsid w:val="00570659"/>
    <w:rsid w:val="00571871"/>
    <w:rsid w:val="0057216A"/>
    <w:rsid w:val="00581CF6"/>
    <w:rsid w:val="00583919"/>
    <w:rsid w:val="00585475"/>
    <w:rsid w:val="00590463"/>
    <w:rsid w:val="00592D26"/>
    <w:rsid w:val="00595516"/>
    <w:rsid w:val="00601D60"/>
    <w:rsid w:val="00603DD5"/>
    <w:rsid w:val="00612A7F"/>
    <w:rsid w:val="00616CDA"/>
    <w:rsid w:val="0062034E"/>
    <w:rsid w:val="00626487"/>
    <w:rsid w:val="006302F9"/>
    <w:rsid w:val="006353F9"/>
    <w:rsid w:val="00642610"/>
    <w:rsid w:val="00660244"/>
    <w:rsid w:val="00660D32"/>
    <w:rsid w:val="00663708"/>
    <w:rsid w:val="0067299E"/>
    <w:rsid w:val="00674E1D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B1A"/>
    <w:rsid w:val="00751670"/>
    <w:rsid w:val="0075427D"/>
    <w:rsid w:val="0076169E"/>
    <w:rsid w:val="00763B39"/>
    <w:rsid w:val="007709D5"/>
    <w:rsid w:val="007758D0"/>
    <w:rsid w:val="00796782"/>
    <w:rsid w:val="007A437A"/>
    <w:rsid w:val="007B0C36"/>
    <w:rsid w:val="007B347E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4376D"/>
    <w:rsid w:val="00847540"/>
    <w:rsid w:val="00857951"/>
    <w:rsid w:val="0086129A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906249"/>
    <w:rsid w:val="00911BD3"/>
    <w:rsid w:val="00926386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4B1E"/>
    <w:rsid w:val="00AB3DE7"/>
    <w:rsid w:val="00AB6C5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91C35"/>
    <w:rsid w:val="00B92682"/>
    <w:rsid w:val="00B92F0B"/>
    <w:rsid w:val="00B93795"/>
    <w:rsid w:val="00BB1150"/>
    <w:rsid w:val="00BB3F47"/>
    <w:rsid w:val="00BC173A"/>
    <w:rsid w:val="00BD627F"/>
    <w:rsid w:val="00BE6BC6"/>
    <w:rsid w:val="00C00ABD"/>
    <w:rsid w:val="00C065ED"/>
    <w:rsid w:val="00C25555"/>
    <w:rsid w:val="00C308E6"/>
    <w:rsid w:val="00C56256"/>
    <w:rsid w:val="00C6267D"/>
    <w:rsid w:val="00C647D9"/>
    <w:rsid w:val="00C771BA"/>
    <w:rsid w:val="00CA5A42"/>
    <w:rsid w:val="00CC7E3D"/>
    <w:rsid w:val="00CD3146"/>
    <w:rsid w:val="00CD7DAD"/>
    <w:rsid w:val="00CE3A12"/>
    <w:rsid w:val="00D027B3"/>
    <w:rsid w:val="00D043F8"/>
    <w:rsid w:val="00D05344"/>
    <w:rsid w:val="00D17734"/>
    <w:rsid w:val="00D237BF"/>
    <w:rsid w:val="00D242E8"/>
    <w:rsid w:val="00D37ECC"/>
    <w:rsid w:val="00D41187"/>
    <w:rsid w:val="00D528B6"/>
    <w:rsid w:val="00D656A1"/>
    <w:rsid w:val="00D87017"/>
    <w:rsid w:val="00D94515"/>
    <w:rsid w:val="00DB4E41"/>
    <w:rsid w:val="00DC2E9B"/>
    <w:rsid w:val="00DC45A9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54BC8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777F"/>
    <w:rsid w:val="00F677CD"/>
    <w:rsid w:val="00F72574"/>
    <w:rsid w:val="00F9767D"/>
    <w:rsid w:val="00FA1DA5"/>
    <w:rsid w:val="00FB3AC0"/>
    <w:rsid w:val="00FC38CB"/>
    <w:rsid w:val="00FC604F"/>
    <w:rsid w:val="00FC61C7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t24.ceskatelevize.cz/domaci/3541986-je-nutne-prehodnotit-smerovani-svetovych-ekonomik-k-nerustu-rika-cilek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weforum.org/agenda/2019/01/these-are-the-global-priorities-and-risks-for-the-future-according-to-antonio-guterres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thenation.com/article/environment/chomsky-climate-change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8</cp:revision>
  <cp:lastPrinted>2023-09-27T10:50:00Z</cp:lastPrinted>
  <dcterms:created xsi:type="dcterms:W3CDTF">2023-09-07T14:08:00Z</dcterms:created>
  <dcterms:modified xsi:type="dcterms:W3CDTF">2023-09-27T10:51:00Z</dcterms:modified>
</cp:coreProperties>
</file>